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F75" w:rsidRDefault="00125F75" w:rsidP="00125F75">
      <w:pPr>
        <w:rPr>
          <w:color w:val="1F497D"/>
          <w:lang w:val="en-ZA"/>
        </w:rPr>
      </w:pPr>
      <w:bookmarkStart w:id="0" w:name="_GoBack"/>
      <w:bookmarkEnd w:id="0"/>
      <w:r>
        <w:rPr>
          <w:noProof/>
          <w:color w:val="1F497D"/>
        </w:rPr>
        <w:drawing>
          <wp:anchor distT="0" distB="0" distL="114300" distR="114300" simplePos="0" relativeHeight="251658240" behindDoc="1" locked="0" layoutInCell="1" allowOverlap="1" wp14:anchorId="46E889EF" wp14:editId="62006865">
            <wp:simplePos x="0" y="0"/>
            <wp:positionH relativeFrom="column">
              <wp:posOffset>-661035</wp:posOffset>
            </wp:positionH>
            <wp:positionV relativeFrom="paragraph">
              <wp:posOffset>-701040</wp:posOffset>
            </wp:positionV>
            <wp:extent cx="7248525" cy="1895475"/>
            <wp:effectExtent l="0" t="0" r="9525" b="9525"/>
            <wp:wrapNone/>
            <wp:docPr id="2" name="Picture 0" descr="Description: ITA-Professional Firearm Trainers Council-letter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ITA-Professional Firearm Trainers Council-letter head.jpg"/>
                    <pic:cNvPicPr>
                      <a:picLocks noChangeAspect="1" noChangeArrowheads="1"/>
                    </pic:cNvPicPr>
                  </pic:nvPicPr>
                  <pic:blipFill>
                    <a:blip r:embed="rId7"/>
                    <a:srcRect/>
                    <a:stretch>
                      <a:fillRect/>
                    </a:stretch>
                  </pic:blipFill>
                  <pic:spPr bwMode="auto">
                    <a:xfrm>
                      <a:off x="0" y="0"/>
                      <a:ext cx="7248525" cy="1895475"/>
                    </a:xfrm>
                    <a:prstGeom prst="rect">
                      <a:avLst/>
                    </a:prstGeom>
                    <a:noFill/>
                  </pic:spPr>
                </pic:pic>
              </a:graphicData>
            </a:graphic>
          </wp:anchor>
        </w:drawing>
      </w:r>
    </w:p>
    <w:p w:rsidR="00125F75" w:rsidRDefault="00125F75" w:rsidP="00125F75"/>
    <w:p w:rsidR="00125F75" w:rsidRDefault="00125F75" w:rsidP="00125F75"/>
    <w:p w:rsidR="00125F75" w:rsidRDefault="00125F75" w:rsidP="00125F75"/>
    <w:p w:rsidR="00125F75" w:rsidRDefault="00125F75" w:rsidP="00125F75"/>
    <w:p w:rsidR="00125F75" w:rsidRDefault="00125F75" w:rsidP="00125F75"/>
    <w:p w:rsidR="00D672BD" w:rsidRDefault="00D672BD" w:rsidP="00125F75"/>
    <w:p w:rsidR="00A077A4" w:rsidRDefault="00F56C99" w:rsidP="00125F75">
      <w:pPr>
        <w:jc w:val="center"/>
        <w:rPr>
          <w:rFonts w:ascii="Arial" w:hAnsi="Arial" w:cs="Arial"/>
          <w:b/>
          <w:bCs/>
          <w:sz w:val="32"/>
          <w:szCs w:val="32"/>
        </w:rPr>
      </w:pPr>
      <w:r>
        <w:rPr>
          <w:rFonts w:ascii="Arial" w:hAnsi="Arial" w:cs="Arial"/>
          <w:b/>
          <w:bCs/>
          <w:sz w:val="32"/>
          <w:szCs w:val="32"/>
        </w:rPr>
        <w:t xml:space="preserve">NEWSLETTER NO </w:t>
      </w:r>
      <w:r w:rsidR="000B41B9">
        <w:rPr>
          <w:rFonts w:ascii="Arial" w:hAnsi="Arial" w:cs="Arial"/>
          <w:b/>
          <w:bCs/>
          <w:sz w:val="32"/>
          <w:szCs w:val="32"/>
        </w:rPr>
        <w:t>22</w:t>
      </w:r>
      <w:r w:rsidR="00125F75">
        <w:rPr>
          <w:rFonts w:ascii="Arial" w:hAnsi="Arial" w:cs="Arial"/>
          <w:b/>
          <w:bCs/>
          <w:sz w:val="32"/>
          <w:szCs w:val="32"/>
        </w:rPr>
        <w:t xml:space="preserve"> OF 2013</w:t>
      </w:r>
    </w:p>
    <w:p w:rsidR="00125F75" w:rsidRDefault="000B41B9" w:rsidP="00125F75">
      <w:pPr>
        <w:jc w:val="center"/>
        <w:rPr>
          <w:rFonts w:ascii="Arial" w:hAnsi="Arial" w:cs="Arial"/>
          <w:b/>
          <w:bCs/>
          <w:color w:val="000000"/>
          <w:sz w:val="32"/>
          <w:szCs w:val="32"/>
        </w:rPr>
      </w:pPr>
      <w:r>
        <w:rPr>
          <w:rFonts w:ascii="Arial" w:hAnsi="Arial" w:cs="Arial"/>
          <w:b/>
          <w:bCs/>
          <w:sz w:val="32"/>
          <w:szCs w:val="32"/>
        </w:rPr>
        <w:t>T</w:t>
      </w:r>
      <w:r w:rsidR="00B660A5">
        <w:rPr>
          <w:rFonts w:ascii="Arial" w:hAnsi="Arial" w:cs="Arial"/>
          <w:b/>
          <w:bCs/>
          <w:sz w:val="32"/>
          <w:szCs w:val="32"/>
        </w:rPr>
        <w:t>ravel</w:t>
      </w:r>
      <w:r>
        <w:rPr>
          <w:rFonts w:ascii="Arial" w:hAnsi="Arial" w:cs="Arial"/>
          <w:b/>
          <w:bCs/>
          <w:sz w:val="32"/>
          <w:szCs w:val="32"/>
        </w:rPr>
        <w:t xml:space="preserve"> and T</w:t>
      </w:r>
      <w:r w:rsidR="00B660A5">
        <w:rPr>
          <w:rFonts w:ascii="Arial" w:hAnsi="Arial" w:cs="Arial"/>
          <w:b/>
          <w:bCs/>
          <w:sz w:val="32"/>
          <w:szCs w:val="32"/>
        </w:rPr>
        <w:t>rain</w:t>
      </w:r>
    </w:p>
    <w:p w:rsidR="00B0345F" w:rsidRDefault="00B0345F" w:rsidP="008F7BD4">
      <w:pPr>
        <w:rPr>
          <w:b/>
          <w:bCs/>
          <w:color w:val="000000"/>
          <w:sz w:val="28"/>
          <w:szCs w:val="28"/>
          <w:u w:val="single"/>
          <w:lang w:val="en-ZA"/>
        </w:rPr>
      </w:pPr>
    </w:p>
    <w:p w:rsidR="000B41B9" w:rsidRDefault="000B41B9" w:rsidP="008F7BD4">
      <w:pPr>
        <w:rPr>
          <w:rFonts w:asciiTheme="minorHAnsi" w:hAnsiTheme="minorHAnsi" w:cstheme="minorHAnsi"/>
          <w:color w:val="000000"/>
          <w:lang w:val="en-ZA"/>
        </w:rPr>
      </w:pPr>
    </w:p>
    <w:p w:rsidR="000B41B9" w:rsidRDefault="000B41B9" w:rsidP="008F7BD4">
      <w:pPr>
        <w:rPr>
          <w:rFonts w:asciiTheme="minorHAnsi" w:hAnsiTheme="minorHAnsi" w:cstheme="minorHAnsi"/>
          <w:color w:val="000000"/>
          <w:lang w:val="en-ZA"/>
        </w:rPr>
      </w:pPr>
    </w:p>
    <w:p w:rsidR="00641484" w:rsidRPr="005B2223" w:rsidRDefault="009A16CF" w:rsidP="008F7BD4">
      <w:pPr>
        <w:rPr>
          <w:rFonts w:asciiTheme="minorHAnsi" w:hAnsiTheme="minorHAnsi" w:cstheme="minorHAnsi"/>
          <w:b/>
          <w:color w:val="000000"/>
          <w:lang w:val="en-ZA"/>
        </w:rPr>
      </w:pPr>
      <w:r>
        <w:rPr>
          <w:rFonts w:asciiTheme="minorHAnsi" w:hAnsiTheme="minorHAnsi" w:cstheme="minorHAnsi"/>
          <w:color w:val="000000"/>
          <w:lang w:val="en-ZA"/>
        </w:rPr>
        <w:t xml:space="preserve">We have received a number of </w:t>
      </w:r>
      <w:r w:rsidR="00D672BD">
        <w:rPr>
          <w:rFonts w:asciiTheme="minorHAnsi" w:hAnsiTheme="minorHAnsi" w:cstheme="minorHAnsi"/>
          <w:color w:val="000000"/>
          <w:lang w:val="en-ZA"/>
        </w:rPr>
        <w:t xml:space="preserve">queries from </w:t>
      </w:r>
      <w:r w:rsidR="009330B6">
        <w:rPr>
          <w:rFonts w:asciiTheme="minorHAnsi" w:hAnsiTheme="minorHAnsi" w:cstheme="minorHAnsi"/>
          <w:color w:val="000000"/>
          <w:lang w:val="en-ZA"/>
        </w:rPr>
        <w:t>t</w:t>
      </w:r>
      <w:r w:rsidR="00D672BD">
        <w:rPr>
          <w:rFonts w:asciiTheme="minorHAnsi" w:hAnsiTheme="minorHAnsi" w:cstheme="minorHAnsi"/>
          <w:color w:val="000000"/>
          <w:lang w:val="en-ZA"/>
        </w:rPr>
        <w:t xml:space="preserve">raining </w:t>
      </w:r>
      <w:r w:rsidR="009330B6">
        <w:rPr>
          <w:rFonts w:asciiTheme="minorHAnsi" w:hAnsiTheme="minorHAnsi" w:cstheme="minorHAnsi"/>
          <w:color w:val="000000"/>
          <w:lang w:val="en-ZA"/>
        </w:rPr>
        <w:t>p</w:t>
      </w:r>
      <w:r w:rsidR="00D672BD">
        <w:rPr>
          <w:rFonts w:asciiTheme="minorHAnsi" w:hAnsiTheme="minorHAnsi" w:cstheme="minorHAnsi"/>
          <w:color w:val="000000"/>
          <w:lang w:val="en-ZA"/>
        </w:rPr>
        <w:t>roviders on “</w:t>
      </w:r>
      <w:r w:rsidR="009330B6">
        <w:rPr>
          <w:rFonts w:asciiTheme="minorHAnsi" w:hAnsiTheme="minorHAnsi" w:cstheme="minorHAnsi"/>
          <w:color w:val="000000"/>
          <w:lang w:val="en-ZA"/>
        </w:rPr>
        <w:t>t</w:t>
      </w:r>
      <w:r w:rsidR="00D672BD">
        <w:rPr>
          <w:rFonts w:asciiTheme="minorHAnsi" w:hAnsiTheme="minorHAnsi" w:cstheme="minorHAnsi"/>
          <w:color w:val="000000"/>
          <w:lang w:val="en-ZA"/>
        </w:rPr>
        <w:t xml:space="preserve">ravel and </w:t>
      </w:r>
      <w:r w:rsidR="009330B6">
        <w:rPr>
          <w:rFonts w:asciiTheme="minorHAnsi" w:hAnsiTheme="minorHAnsi" w:cstheme="minorHAnsi"/>
          <w:color w:val="000000"/>
          <w:lang w:val="en-ZA"/>
        </w:rPr>
        <w:t>t</w:t>
      </w:r>
      <w:r w:rsidR="00D672BD">
        <w:rPr>
          <w:rFonts w:asciiTheme="minorHAnsi" w:hAnsiTheme="minorHAnsi" w:cstheme="minorHAnsi"/>
          <w:color w:val="000000"/>
          <w:lang w:val="en-ZA"/>
        </w:rPr>
        <w:t>rain”.</w:t>
      </w:r>
    </w:p>
    <w:p w:rsidR="00740A2F" w:rsidRDefault="00740A2F" w:rsidP="00740A2F"/>
    <w:p w:rsidR="00740A2F" w:rsidRPr="00D672BD" w:rsidRDefault="00D672BD" w:rsidP="00740A2F">
      <w:pPr>
        <w:spacing w:after="200" w:line="276" w:lineRule="auto"/>
      </w:pPr>
      <w:r w:rsidRPr="00D672BD">
        <w:t>T</w:t>
      </w:r>
      <w:r w:rsidR="00740A2F" w:rsidRPr="00D672BD">
        <w:t xml:space="preserve">he PFTC policy on “travel and train” is </w:t>
      </w:r>
      <w:r w:rsidR="008C726E" w:rsidRPr="00D672BD">
        <w:t xml:space="preserve">as </w:t>
      </w:r>
      <w:r w:rsidRPr="00D672BD">
        <w:t>follows:</w:t>
      </w:r>
    </w:p>
    <w:p w:rsidR="00740A2F" w:rsidRPr="00D672BD" w:rsidRDefault="00740A2F" w:rsidP="00740A2F">
      <w:pPr>
        <w:spacing w:after="200" w:line="276" w:lineRule="auto"/>
      </w:pPr>
      <w:r w:rsidRPr="00D672BD">
        <w:t>If an accredited firearm training provider wants to present training in another area</w:t>
      </w:r>
      <w:r w:rsidR="009A7AB9" w:rsidRPr="00D672BD">
        <w:t xml:space="preserve">, </w:t>
      </w:r>
      <w:r w:rsidRPr="00D672BD">
        <w:t>town</w:t>
      </w:r>
      <w:r w:rsidR="009A7AB9" w:rsidRPr="00D672BD">
        <w:t xml:space="preserve">, or </w:t>
      </w:r>
      <w:r w:rsidRPr="00D672BD">
        <w:t>province</w:t>
      </w:r>
      <w:r w:rsidR="00D672BD">
        <w:t>;</w:t>
      </w:r>
      <w:r w:rsidRPr="00D672BD">
        <w:t xml:space="preserve"> </w:t>
      </w:r>
      <w:r w:rsidR="00D672BD">
        <w:t>the following rules shall apply.</w:t>
      </w:r>
    </w:p>
    <w:p w:rsidR="009A7AB9" w:rsidRPr="00D672BD" w:rsidRDefault="009A7AB9" w:rsidP="009A7AB9">
      <w:pPr>
        <w:pStyle w:val="ListParagraph"/>
        <w:numPr>
          <w:ilvl w:val="0"/>
          <w:numId w:val="41"/>
        </w:numPr>
        <w:spacing w:after="200" w:line="276" w:lineRule="auto"/>
      </w:pPr>
      <w:r w:rsidRPr="00D672BD">
        <w:t>The practical portion of the training may only take place on an accredited shooting range.  Prior written permission for the use of the shooting range must be obtained no less than 7 days before the training takes place.</w:t>
      </w:r>
      <w:r w:rsidR="008C726E" w:rsidRPr="00D672BD">
        <w:t xml:space="preserve">  Your written permission must specify that the shooting range is aware of the fact that you are training provider intending to present training on the shooting range, and not simply a member of the public wanting to utilize the facility.</w:t>
      </w:r>
    </w:p>
    <w:p w:rsidR="009A7AB9" w:rsidRPr="00D672BD" w:rsidRDefault="009A7AB9" w:rsidP="009A7AB9">
      <w:pPr>
        <w:pStyle w:val="ListParagraph"/>
        <w:spacing w:after="200" w:line="276" w:lineRule="auto"/>
      </w:pPr>
    </w:p>
    <w:p w:rsidR="009A7AB9" w:rsidRPr="00D672BD" w:rsidRDefault="009A7AB9" w:rsidP="009A7AB9">
      <w:pPr>
        <w:pStyle w:val="ListParagraph"/>
        <w:numPr>
          <w:ilvl w:val="0"/>
          <w:numId w:val="41"/>
        </w:numPr>
        <w:spacing w:after="200" w:line="276" w:lineRule="auto"/>
      </w:pPr>
      <w:r w:rsidRPr="00D672BD">
        <w:t>The classroom which is being used for theoretical training must be either at an existing firearm</w:t>
      </w:r>
      <w:r w:rsidR="008C726E" w:rsidRPr="00D672BD">
        <w:t>-</w:t>
      </w:r>
      <w:r w:rsidRPr="00D672BD">
        <w:t>accredited venue, located at a shooting range, or an accredited firearm training provider</w:t>
      </w:r>
      <w:r w:rsidR="008C726E" w:rsidRPr="00D672BD">
        <w:t>’s premises</w:t>
      </w:r>
      <w:r w:rsidRPr="00D672BD">
        <w:t xml:space="preserve">, due to the fact that the subject being taught is firearms.  Even theoretical firearm training requires training aids which could include the use of real firearms (unloaded), dummy firearms, live and dummy ammunition, as visual aids.  Using these items in certain schools, technikons, universities, or other training facilities which are not firearm-accredited can be problematic for several different reasons, e.g. gun-free zones, bad public perception, </w:t>
      </w:r>
      <w:r w:rsidR="008C726E" w:rsidRPr="00D672BD">
        <w:t xml:space="preserve">learners carrying own firearms and ammunition, no </w:t>
      </w:r>
      <w:r w:rsidRPr="00D672BD">
        <w:t>safe areas/</w:t>
      </w:r>
      <w:r w:rsidR="00D672BD">
        <w:t xml:space="preserve"> </w:t>
      </w:r>
      <w:r w:rsidRPr="00D672BD">
        <w:t>safe direction for pointing of fir</w:t>
      </w:r>
      <w:r w:rsidR="00D672BD">
        <w:t>earms even if they are unloaded and various others.</w:t>
      </w:r>
    </w:p>
    <w:p w:rsidR="008C726E" w:rsidRPr="00D672BD" w:rsidRDefault="008C726E" w:rsidP="008C726E">
      <w:pPr>
        <w:pStyle w:val="ListParagraph"/>
      </w:pPr>
    </w:p>
    <w:p w:rsidR="000B41B9" w:rsidRPr="009330B6" w:rsidRDefault="008C726E" w:rsidP="00125F75">
      <w:pPr>
        <w:pStyle w:val="ListParagraph"/>
        <w:numPr>
          <w:ilvl w:val="0"/>
          <w:numId w:val="41"/>
        </w:numPr>
        <w:spacing w:after="200" w:line="276" w:lineRule="auto"/>
        <w:rPr>
          <w:rFonts w:asciiTheme="minorHAnsi" w:hAnsiTheme="minorHAnsi" w:cstheme="minorHAnsi"/>
          <w:lang w:val="en-ZA"/>
        </w:rPr>
      </w:pPr>
      <w:r w:rsidRPr="00D672BD">
        <w:t xml:space="preserve">You are required to notify the PFTC ETQA via email at </w:t>
      </w:r>
      <w:hyperlink r:id="rId8" w:history="1">
        <w:r w:rsidRPr="00D672BD">
          <w:rPr>
            <w:rStyle w:val="Hyperlink"/>
            <w:color w:val="auto"/>
          </w:rPr>
          <w:t>etqa@pftc.co.za</w:t>
        </w:r>
      </w:hyperlink>
      <w:r w:rsidRPr="00D672BD">
        <w:t xml:space="preserve"> of your intention to “travel and train”, the dates of your course, and the venues to be used.  This notification must take place no less than 7 days before the training begins.  PFTC then has the option to conduct suitable verification, if necessary.</w:t>
      </w:r>
    </w:p>
    <w:p w:rsidR="009330B6" w:rsidRPr="00D672BD" w:rsidRDefault="009330B6" w:rsidP="009330B6">
      <w:pPr>
        <w:spacing w:after="200" w:line="276" w:lineRule="auto"/>
      </w:pPr>
      <w:r w:rsidRPr="00D672BD">
        <w:t xml:space="preserve">The PFTC is no way unreasonable with regards to “travel and train”.  We know the challenges that training providers face and we will be as accommodating as possible, without infringing on standards. </w:t>
      </w:r>
    </w:p>
    <w:p w:rsidR="009330B6" w:rsidRDefault="009330B6" w:rsidP="000B41B9">
      <w:pPr>
        <w:spacing w:after="200" w:line="276" w:lineRule="auto"/>
        <w:rPr>
          <w:rFonts w:asciiTheme="minorHAnsi" w:hAnsiTheme="minorHAnsi" w:cstheme="minorHAnsi"/>
          <w:color w:val="000000"/>
          <w:lang w:val="en-ZA"/>
        </w:rPr>
      </w:pPr>
    </w:p>
    <w:p w:rsidR="00125F75" w:rsidRPr="000B41B9" w:rsidRDefault="00125F75" w:rsidP="000B41B9">
      <w:pPr>
        <w:spacing w:after="200" w:line="276" w:lineRule="auto"/>
        <w:rPr>
          <w:rFonts w:asciiTheme="minorHAnsi" w:hAnsiTheme="minorHAnsi" w:cstheme="minorHAnsi"/>
          <w:color w:val="000000"/>
          <w:lang w:val="en-ZA"/>
        </w:rPr>
      </w:pPr>
      <w:r w:rsidRPr="000B41B9">
        <w:rPr>
          <w:rFonts w:asciiTheme="minorHAnsi" w:hAnsiTheme="minorHAnsi" w:cstheme="minorHAnsi"/>
          <w:color w:val="000000"/>
          <w:lang w:val="en-ZA"/>
        </w:rPr>
        <w:t>Sincerely,</w:t>
      </w:r>
    </w:p>
    <w:p w:rsidR="00C26E97" w:rsidRPr="009330B6" w:rsidRDefault="003D60D4" w:rsidP="00125F75">
      <w:pPr>
        <w:rPr>
          <w:color w:val="000000"/>
          <w:sz w:val="24"/>
          <w:szCs w:val="24"/>
          <w:lang w:val="en-ZA"/>
        </w:rPr>
      </w:pPr>
      <w:r w:rsidRPr="009330B6">
        <w:rPr>
          <w:color w:val="000000"/>
          <w:sz w:val="24"/>
          <w:szCs w:val="24"/>
          <w:lang w:val="en-ZA"/>
        </w:rPr>
        <w:t>John Baker</w:t>
      </w:r>
    </w:p>
    <w:p w:rsidR="003D60D4" w:rsidRPr="009330B6" w:rsidRDefault="00C26E97" w:rsidP="00125F75">
      <w:pPr>
        <w:rPr>
          <w:color w:val="000000"/>
          <w:sz w:val="24"/>
          <w:szCs w:val="24"/>
          <w:lang w:val="en-ZA"/>
        </w:rPr>
      </w:pPr>
      <w:r w:rsidRPr="009330B6">
        <w:rPr>
          <w:color w:val="000000"/>
          <w:sz w:val="24"/>
          <w:szCs w:val="24"/>
          <w:lang w:val="en-ZA"/>
        </w:rPr>
        <w:t xml:space="preserve">HoD </w:t>
      </w:r>
      <w:r w:rsidR="003D60D4" w:rsidRPr="009330B6">
        <w:rPr>
          <w:color w:val="000000"/>
          <w:sz w:val="24"/>
          <w:szCs w:val="24"/>
          <w:lang w:val="en-ZA"/>
        </w:rPr>
        <w:t xml:space="preserve">ETQA </w:t>
      </w:r>
      <w:r w:rsidRPr="009330B6">
        <w:rPr>
          <w:color w:val="000000"/>
          <w:sz w:val="24"/>
          <w:szCs w:val="24"/>
          <w:lang w:val="en-ZA"/>
        </w:rPr>
        <w:t>PFTC</w:t>
      </w:r>
    </w:p>
    <w:sectPr w:rsidR="003D60D4" w:rsidRPr="009330B6" w:rsidSect="00641484">
      <w:pgSz w:w="12240" w:h="15840"/>
      <w:pgMar w:top="864" w:right="720" w:bottom="864" w:left="129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5F3"/>
    <w:multiLevelType w:val="hybridMultilevel"/>
    <w:tmpl w:val="B87AD61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nsid w:val="02AE7CEA"/>
    <w:multiLevelType w:val="hybridMultilevel"/>
    <w:tmpl w:val="F3F2125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nsid w:val="0443405F"/>
    <w:multiLevelType w:val="hybridMultilevel"/>
    <w:tmpl w:val="9A30A608"/>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3">
    <w:nsid w:val="08832E27"/>
    <w:multiLevelType w:val="hybridMultilevel"/>
    <w:tmpl w:val="D592DE5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184F4CF9"/>
    <w:multiLevelType w:val="hybridMultilevel"/>
    <w:tmpl w:val="60D2D9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1A061DE2"/>
    <w:multiLevelType w:val="hybridMultilevel"/>
    <w:tmpl w:val="3C9C98BA"/>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nsid w:val="1B1074AE"/>
    <w:multiLevelType w:val="hybridMultilevel"/>
    <w:tmpl w:val="1C5C4B1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nsid w:val="1C5D4C80"/>
    <w:multiLevelType w:val="multilevel"/>
    <w:tmpl w:val="21B2FF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16728B1"/>
    <w:multiLevelType w:val="hybridMultilevel"/>
    <w:tmpl w:val="A6EC4B8E"/>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nsid w:val="25A32129"/>
    <w:multiLevelType w:val="hybridMultilevel"/>
    <w:tmpl w:val="099E666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261A7086"/>
    <w:multiLevelType w:val="hybridMultilevel"/>
    <w:tmpl w:val="21D8A51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nsid w:val="26A5374F"/>
    <w:multiLevelType w:val="hybridMultilevel"/>
    <w:tmpl w:val="FC561D1C"/>
    <w:lvl w:ilvl="0" w:tplc="2B326A6E">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340B40EA"/>
    <w:multiLevelType w:val="hybridMultilevel"/>
    <w:tmpl w:val="3F40F6B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nsid w:val="387D4C96"/>
    <w:multiLevelType w:val="hybridMultilevel"/>
    <w:tmpl w:val="AE022FDA"/>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nsid w:val="3951146E"/>
    <w:multiLevelType w:val="hybridMultilevel"/>
    <w:tmpl w:val="0E7604B4"/>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nsid w:val="43E445D7"/>
    <w:multiLevelType w:val="hybridMultilevel"/>
    <w:tmpl w:val="328A394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nsid w:val="45BF71ED"/>
    <w:multiLevelType w:val="hybridMultilevel"/>
    <w:tmpl w:val="A59E2C14"/>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nsid w:val="4E9E3D8F"/>
    <w:multiLevelType w:val="hybridMultilevel"/>
    <w:tmpl w:val="99B8BA34"/>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nsid w:val="4F0D5970"/>
    <w:multiLevelType w:val="hybridMultilevel"/>
    <w:tmpl w:val="C644B64E"/>
    <w:lvl w:ilvl="0" w:tplc="1C090003">
      <w:start w:val="1"/>
      <w:numFmt w:val="bullet"/>
      <w:lvlText w:val="o"/>
      <w:lvlJc w:val="left"/>
      <w:pPr>
        <w:ind w:left="1500" w:hanging="360"/>
      </w:pPr>
      <w:rPr>
        <w:rFonts w:ascii="Courier New" w:hAnsi="Courier New" w:cs="Courier New"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19">
    <w:nsid w:val="50C0124E"/>
    <w:multiLevelType w:val="hybridMultilevel"/>
    <w:tmpl w:val="F65814B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nsid w:val="50F62418"/>
    <w:multiLevelType w:val="hybridMultilevel"/>
    <w:tmpl w:val="AA4EF1FE"/>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nsid w:val="589F06EB"/>
    <w:multiLevelType w:val="hybridMultilevel"/>
    <w:tmpl w:val="4F9444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DE55D8"/>
    <w:multiLevelType w:val="hybridMultilevel"/>
    <w:tmpl w:val="33304160"/>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nsid w:val="5C353807"/>
    <w:multiLevelType w:val="hybridMultilevel"/>
    <w:tmpl w:val="3FE8202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4">
    <w:nsid w:val="5DEE2CAC"/>
    <w:multiLevelType w:val="hybridMultilevel"/>
    <w:tmpl w:val="1E78451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nsid w:val="5E2E5A17"/>
    <w:multiLevelType w:val="hybridMultilevel"/>
    <w:tmpl w:val="77D24A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610E1EDE"/>
    <w:multiLevelType w:val="hybridMultilevel"/>
    <w:tmpl w:val="EA46457A"/>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7">
    <w:nsid w:val="62506D21"/>
    <w:multiLevelType w:val="hybridMultilevel"/>
    <w:tmpl w:val="691A699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8">
    <w:nsid w:val="64C94AAF"/>
    <w:multiLevelType w:val="hybridMultilevel"/>
    <w:tmpl w:val="389E807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9">
    <w:nsid w:val="67D11653"/>
    <w:multiLevelType w:val="hybridMultilevel"/>
    <w:tmpl w:val="2912102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nsid w:val="6BD80B7D"/>
    <w:multiLevelType w:val="hybridMultilevel"/>
    <w:tmpl w:val="DB0CDDAE"/>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1">
    <w:nsid w:val="6C043566"/>
    <w:multiLevelType w:val="hybridMultilevel"/>
    <w:tmpl w:val="F9EC8F9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2">
    <w:nsid w:val="6C072219"/>
    <w:multiLevelType w:val="hybridMultilevel"/>
    <w:tmpl w:val="44F6DE64"/>
    <w:lvl w:ilvl="0" w:tplc="60F03F92">
      <w:start w:val="2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CBA7645"/>
    <w:multiLevelType w:val="hybridMultilevel"/>
    <w:tmpl w:val="EF32F7F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4">
    <w:nsid w:val="6D9C4D68"/>
    <w:multiLevelType w:val="hybridMultilevel"/>
    <w:tmpl w:val="AEB856EA"/>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5">
    <w:nsid w:val="73F31415"/>
    <w:multiLevelType w:val="hybridMultilevel"/>
    <w:tmpl w:val="1C0A1D2A"/>
    <w:lvl w:ilvl="0" w:tplc="A350D3DC">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BA4475"/>
    <w:multiLevelType w:val="hybridMultilevel"/>
    <w:tmpl w:val="0910E52E"/>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7">
    <w:nsid w:val="75FD3E53"/>
    <w:multiLevelType w:val="hybridMultilevel"/>
    <w:tmpl w:val="7CB48D9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8">
    <w:nsid w:val="770414CF"/>
    <w:multiLevelType w:val="hybridMultilevel"/>
    <w:tmpl w:val="FCEE0080"/>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9">
    <w:nsid w:val="798D6648"/>
    <w:multiLevelType w:val="hybridMultilevel"/>
    <w:tmpl w:val="5A8E68C4"/>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0">
    <w:nsid w:val="7A81690B"/>
    <w:multiLevelType w:val="hybridMultilevel"/>
    <w:tmpl w:val="0CEC1E9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1">
    <w:nsid w:val="7B3C0688"/>
    <w:multiLevelType w:val="hybridMultilevel"/>
    <w:tmpl w:val="8AD2383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2">
    <w:nsid w:val="7FD60E06"/>
    <w:multiLevelType w:val="hybridMultilevel"/>
    <w:tmpl w:val="42F8A2BE"/>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3"/>
  </w:num>
  <w:num w:numId="2">
    <w:abstractNumId w:val="11"/>
  </w:num>
  <w:num w:numId="3">
    <w:abstractNumId w:val="33"/>
  </w:num>
  <w:num w:numId="4">
    <w:abstractNumId w:val="9"/>
  </w:num>
  <w:num w:numId="5">
    <w:abstractNumId w:val="29"/>
  </w:num>
  <w:num w:numId="6">
    <w:abstractNumId w:val="30"/>
  </w:num>
  <w:num w:numId="7">
    <w:abstractNumId w:val="18"/>
  </w:num>
  <w:num w:numId="8">
    <w:abstractNumId w:val="26"/>
  </w:num>
  <w:num w:numId="9">
    <w:abstractNumId w:val="36"/>
  </w:num>
  <w:num w:numId="10">
    <w:abstractNumId w:val="17"/>
  </w:num>
  <w:num w:numId="11">
    <w:abstractNumId w:val="12"/>
  </w:num>
  <w:num w:numId="12">
    <w:abstractNumId w:val="13"/>
  </w:num>
  <w:num w:numId="13">
    <w:abstractNumId w:val="1"/>
  </w:num>
  <w:num w:numId="14">
    <w:abstractNumId w:val="16"/>
  </w:num>
  <w:num w:numId="15">
    <w:abstractNumId w:val="37"/>
  </w:num>
  <w:num w:numId="16">
    <w:abstractNumId w:val="42"/>
  </w:num>
  <w:num w:numId="17">
    <w:abstractNumId w:val="6"/>
  </w:num>
  <w:num w:numId="18">
    <w:abstractNumId w:val="15"/>
  </w:num>
  <w:num w:numId="19">
    <w:abstractNumId w:val="10"/>
  </w:num>
  <w:num w:numId="20">
    <w:abstractNumId w:val="40"/>
  </w:num>
  <w:num w:numId="21">
    <w:abstractNumId w:val="0"/>
  </w:num>
  <w:num w:numId="22">
    <w:abstractNumId w:val="39"/>
  </w:num>
  <w:num w:numId="23">
    <w:abstractNumId w:val="2"/>
  </w:num>
  <w:num w:numId="24">
    <w:abstractNumId w:val="20"/>
  </w:num>
  <w:num w:numId="25">
    <w:abstractNumId w:val="22"/>
  </w:num>
  <w:num w:numId="26">
    <w:abstractNumId w:val="4"/>
  </w:num>
  <w:num w:numId="27">
    <w:abstractNumId w:val="19"/>
  </w:num>
  <w:num w:numId="28">
    <w:abstractNumId w:val="34"/>
  </w:num>
  <w:num w:numId="29">
    <w:abstractNumId w:val="38"/>
  </w:num>
  <w:num w:numId="30">
    <w:abstractNumId w:val="25"/>
  </w:num>
  <w:num w:numId="31">
    <w:abstractNumId w:val="24"/>
  </w:num>
  <w:num w:numId="32">
    <w:abstractNumId w:val="8"/>
  </w:num>
  <w:num w:numId="33">
    <w:abstractNumId w:val="14"/>
  </w:num>
  <w:num w:numId="34">
    <w:abstractNumId w:val="5"/>
  </w:num>
  <w:num w:numId="35">
    <w:abstractNumId w:val="23"/>
  </w:num>
  <w:num w:numId="36">
    <w:abstractNumId w:val="32"/>
  </w:num>
  <w:num w:numId="37">
    <w:abstractNumId w:val="35"/>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F75"/>
    <w:rsid w:val="00003F1D"/>
    <w:rsid w:val="00027A5C"/>
    <w:rsid w:val="00034A1B"/>
    <w:rsid w:val="00042631"/>
    <w:rsid w:val="00047BCF"/>
    <w:rsid w:val="000B41B9"/>
    <w:rsid w:val="000C5733"/>
    <w:rsid w:val="000F1A47"/>
    <w:rsid w:val="00125F75"/>
    <w:rsid w:val="00154021"/>
    <w:rsid w:val="0016512C"/>
    <w:rsid w:val="001C446C"/>
    <w:rsid w:val="00207CFA"/>
    <w:rsid w:val="002113CE"/>
    <w:rsid w:val="0023474B"/>
    <w:rsid w:val="002864D1"/>
    <w:rsid w:val="002A045F"/>
    <w:rsid w:val="002E0635"/>
    <w:rsid w:val="00306C12"/>
    <w:rsid w:val="003751CD"/>
    <w:rsid w:val="003D60D4"/>
    <w:rsid w:val="003E2D9B"/>
    <w:rsid w:val="00407C90"/>
    <w:rsid w:val="00416E79"/>
    <w:rsid w:val="004216BC"/>
    <w:rsid w:val="0043453D"/>
    <w:rsid w:val="0044275B"/>
    <w:rsid w:val="004A2878"/>
    <w:rsid w:val="004C232E"/>
    <w:rsid w:val="005005E2"/>
    <w:rsid w:val="00517177"/>
    <w:rsid w:val="005A4B87"/>
    <w:rsid w:val="005B2223"/>
    <w:rsid w:val="00634ADC"/>
    <w:rsid w:val="00641484"/>
    <w:rsid w:val="00697E34"/>
    <w:rsid w:val="00740A2F"/>
    <w:rsid w:val="007A137F"/>
    <w:rsid w:val="007B6845"/>
    <w:rsid w:val="007E065E"/>
    <w:rsid w:val="00826983"/>
    <w:rsid w:val="00842B29"/>
    <w:rsid w:val="008C1FCF"/>
    <w:rsid w:val="008C498F"/>
    <w:rsid w:val="008C726E"/>
    <w:rsid w:val="008D2B2D"/>
    <w:rsid w:val="008F7BD4"/>
    <w:rsid w:val="009274E8"/>
    <w:rsid w:val="009330B6"/>
    <w:rsid w:val="009634F2"/>
    <w:rsid w:val="009A16CF"/>
    <w:rsid w:val="009A7AB9"/>
    <w:rsid w:val="009E73E7"/>
    <w:rsid w:val="00A077A4"/>
    <w:rsid w:val="00A90407"/>
    <w:rsid w:val="00AB7F24"/>
    <w:rsid w:val="00AC2B65"/>
    <w:rsid w:val="00AC3F32"/>
    <w:rsid w:val="00B0345F"/>
    <w:rsid w:val="00B37CA0"/>
    <w:rsid w:val="00B660A5"/>
    <w:rsid w:val="00BA1455"/>
    <w:rsid w:val="00BC40AA"/>
    <w:rsid w:val="00BE1D49"/>
    <w:rsid w:val="00BE4D18"/>
    <w:rsid w:val="00C26E97"/>
    <w:rsid w:val="00C46741"/>
    <w:rsid w:val="00C57E24"/>
    <w:rsid w:val="00C6634E"/>
    <w:rsid w:val="00C96072"/>
    <w:rsid w:val="00CC6A3E"/>
    <w:rsid w:val="00CE26DA"/>
    <w:rsid w:val="00CE34F3"/>
    <w:rsid w:val="00CE65C1"/>
    <w:rsid w:val="00CF1CA1"/>
    <w:rsid w:val="00D5587E"/>
    <w:rsid w:val="00D672BD"/>
    <w:rsid w:val="00D71CDA"/>
    <w:rsid w:val="00D9598B"/>
    <w:rsid w:val="00E056D6"/>
    <w:rsid w:val="00E531F1"/>
    <w:rsid w:val="00EB098B"/>
    <w:rsid w:val="00F128CB"/>
    <w:rsid w:val="00F1681E"/>
    <w:rsid w:val="00F36947"/>
    <w:rsid w:val="00F56823"/>
    <w:rsid w:val="00F56C99"/>
    <w:rsid w:val="00F8499B"/>
    <w:rsid w:val="00FB04CE"/>
    <w:rsid w:val="00FE4FBC"/>
    <w:rsid w:val="00FF0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F7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F75"/>
    <w:rPr>
      <w:color w:val="0000FF"/>
      <w:u w:val="single"/>
    </w:rPr>
  </w:style>
  <w:style w:type="paragraph" w:styleId="BalloonText">
    <w:name w:val="Balloon Text"/>
    <w:basedOn w:val="Normal"/>
    <w:link w:val="BalloonTextChar"/>
    <w:uiPriority w:val="99"/>
    <w:semiHidden/>
    <w:unhideWhenUsed/>
    <w:rsid w:val="00F1681E"/>
    <w:rPr>
      <w:rFonts w:ascii="Tahoma" w:hAnsi="Tahoma" w:cs="Tahoma"/>
      <w:sz w:val="16"/>
      <w:szCs w:val="16"/>
    </w:rPr>
  </w:style>
  <w:style w:type="character" w:customStyle="1" w:styleId="BalloonTextChar">
    <w:name w:val="Balloon Text Char"/>
    <w:basedOn w:val="DefaultParagraphFont"/>
    <w:link w:val="BalloonText"/>
    <w:uiPriority w:val="99"/>
    <w:semiHidden/>
    <w:rsid w:val="00F1681E"/>
    <w:rPr>
      <w:rFonts w:ascii="Tahoma" w:hAnsi="Tahoma" w:cs="Tahoma"/>
      <w:sz w:val="16"/>
      <w:szCs w:val="16"/>
    </w:rPr>
  </w:style>
  <w:style w:type="paragraph" w:styleId="ListParagraph">
    <w:name w:val="List Paragraph"/>
    <w:basedOn w:val="Normal"/>
    <w:uiPriority w:val="34"/>
    <w:qFormat/>
    <w:rsid w:val="006414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F7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F75"/>
    <w:rPr>
      <w:color w:val="0000FF"/>
      <w:u w:val="single"/>
    </w:rPr>
  </w:style>
  <w:style w:type="paragraph" w:styleId="BalloonText">
    <w:name w:val="Balloon Text"/>
    <w:basedOn w:val="Normal"/>
    <w:link w:val="BalloonTextChar"/>
    <w:uiPriority w:val="99"/>
    <w:semiHidden/>
    <w:unhideWhenUsed/>
    <w:rsid w:val="00F1681E"/>
    <w:rPr>
      <w:rFonts w:ascii="Tahoma" w:hAnsi="Tahoma" w:cs="Tahoma"/>
      <w:sz w:val="16"/>
      <w:szCs w:val="16"/>
    </w:rPr>
  </w:style>
  <w:style w:type="character" w:customStyle="1" w:styleId="BalloonTextChar">
    <w:name w:val="Balloon Text Char"/>
    <w:basedOn w:val="DefaultParagraphFont"/>
    <w:link w:val="BalloonText"/>
    <w:uiPriority w:val="99"/>
    <w:semiHidden/>
    <w:rsid w:val="00F1681E"/>
    <w:rPr>
      <w:rFonts w:ascii="Tahoma" w:hAnsi="Tahoma" w:cs="Tahoma"/>
      <w:sz w:val="16"/>
      <w:szCs w:val="16"/>
    </w:rPr>
  </w:style>
  <w:style w:type="paragraph" w:styleId="ListParagraph">
    <w:name w:val="List Paragraph"/>
    <w:basedOn w:val="Normal"/>
    <w:uiPriority w:val="34"/>
    <w:qFormat/>
    <w:rsid w:val="006414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5842">
      <w:bodyDiv w:val="1"/>
      <w:marLeft w:val="0"/>
      <w:marRight w:val="0"/>
      <w:marTop w:val="0"/>
      <w:marBottom w:val="0"/>
      <w:divBdr>
        <w:top w:val="none" w:sz="0" w:space="0" w:color="auto"/>
        <w:left w:val="none" w:sz="0" w:space="0" w:color="auto"/>
        <w:bottom w:val="none" w:sz="0" w:space="0" w:color="auto"/>
        <w:right w:val="none" w:sz="0" w:space="0" w:color="auto"/>
      </w:divBdr>
    </w:div>
    <w:div w:id="198712098">
      <w:bodyDiv w:val="1"/>
      <w:marLeft w:val="0"/>
      <w:marRight w:val="0"/>
      <w:marTop w:val="0"/>
      <w:marBottom w:val="0"/>
      <w:divBdr>
        <w:top w:val="none" w:sz="0" w:space="0" w:color="auto"/>
        <w:left w:val="none" w:sz="0" w:space="0" w:color="auto"/>
        <w:bottom w:val="none" w:sz="0" w:space="0" w:color="auto"/>
        <w:right w:val="none" w:sz="0" w:space="0" w:color="auto"/>
      </w:divBdr>
    </w:div>
    <w:div w:id="678581916">
      <w:bodyDiv w:val="1"/>
      <w:marLeft w:val="0"/>
      <w:marRight w:val="0"/>
      <w:marTop w:val="0"/>
      <w:marBottom w:val="0"/>
      <w:divBdr>
        <w:top w:val="none" w:sz="0" w:space="0" w:color="auto"/>
        <w:left w:val="none" w:sz="0" w:space="0" w:color="auto"/>
        <w:bottom w:val="none" w:sz="0" w:space="0" w:color="auto"/>
        <w:right w:val="none" w:sz="0" w:space="0" w:color="auto"/>
      </w:divBdr>
    </w:div>
    <w:div w:id="957764272">
      <w:bodyDiv w:val="1"/>
      <w:marLeft w:val="0"/>
      <w:marRight w:val="0"/>
      <w:marTop w:val="0"/>
      <w:marBottom w:val="0"/>
      <w:divBdr>
        <w:top w:val="none" w:sz="0" w:space="0" w:color="auto"/>
        <w:left w:val="none" w:sz="0" w:space="0" w:color="auto"/>
        <w:bottom w:val="none" w:sz="0" w:space="0" w:color="auto"/>
        <w:right w:val="none" w:sz="0" w:space="0" w:color="auto"/>
      </w:divBdr>
    </w:div>
    <w:div w:id="106915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tqa@pftc.co.za"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8119A-FBB5-4668-9991-A12ADDF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2013-06-07T12:59:00Z</cp:lastPrinted>
  <dcterms:created xsi:type="dcterms:W3CDTF">2013-06-07T14:05:00Z</dcterms:created>
  <dcterms:modified xsi:type="dcterms:W3CDTF">2013-06-07T14:05:00Z</dcterms:modified>
</cp:coreProperties>
</file>